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44" w:rsidRPr="00E30044" w:rsidRDefault="00E30044" w:rsidP="00E30044">
      <w:pPr>
        <w:shd w:val="clear" w:color="auto" w:fill="FFFFFF"/>
        <w:spacing w:after="72" w:line="305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Основні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наукових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досл</w:t>
      </w:r>
      <w:proofErr w:type="gramEnd"/>
      <w:r w:rsidRPr="00E3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іджень</w:t>
      </w:r>
      <w:proofErr w:type="spellEnd"/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ooltip="Біологія — наука про живу природу. Значення біології. Повні уроки" w:history="1">
        <w:proofErr w:type="spellStart"/>
        <w:r w:rsidRPr="00E30044">
          <w:rPr>
            <w:rFonts w:ascii="Arial" w:eastAsia="Times New Roman" w:hAnsi="Arial" w:cs="Arial"/>
            <w:b/>
            <w:bCs/>
            <w:color w:val="5A3696"/>
            <w:sz w:val="21"/>
            <w:szCs w:val="21"/>
            <w:u w:val="single"/>
            <w:lang w:eastAsia="ru-RU"/>
          </w:rPr>
          <w:t>Біологія</w:t>
        </w:r>
        <w:proofErr w:type="spellEnd"/>
      </w:hyperlink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 і будь яка наука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іджень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Тобто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являють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собою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набі</w:t>
      </w:r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прийомів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операцій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побудови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знань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://school.xvatit.com/index.php?title=%D0%91%D1%96%D0%BE%D0%BB%D0%BE%D0%B3%D1%96%D1%8F_%E2%80%93_%D0%BD%D0%B0%D1%83%D0%BA%D0%B0_%D0%BF%D1%80%D0%BE_%D0%B6%D0%B8%D0%B2%D1%83_%D0%BF%D1%80%D0%B8%D1%80%D0%BE%D0%B4%D1%83._%D0%97%D0%BD%D0%B0%D1%87%D0%B5%D0%BD%D0%BD%D1%8F_%D0%B1%D1%96%D0%BE%D0%BB%D0%BE%D0%B3%D1%96%D1%97._%D0%9F%D1%80%D0%B5%D0%B7%D0%B5%D0%BD%D1%82%D0%B0%D1%86%D1%96%D1%8F" \o "Біологія – наука про живу природу. Значення біології. Презентація" </w:instrText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>Біологія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застосовує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"http://school.xvatit.com/index.php?title=%D0%A2%D0%B5%D0%BC%D0%B0_3._%D0%94%D0%BE%D1%81%D0%BB%D1%96%D0%B4%D0%B6%D0%B5%D0%BD%D0%BD%D1%8F_%D0%B1%D1%96%D0%BE%D0%BB%D0%BE%D0%B3%D1%96%D1%87%D0%BD%D0%B8%D1%85_%D0%BE%D0%B1%27%D1%94%D0%BA%D1%82%D1%96%D0%B2" \o "Тема 3. Дослідження біологічних об'єктів" </w:instrText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>методи</w:t>
      </w:r>
      <w:proofErr w:type="spellEnd"/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>досл</w:t>
      </w:r>
      <w:proofErr w:type="gramEnd"/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>іджень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Описовий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використовувався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перших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етапах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://school.xvatit.com/index.php?title=%D0%A2%D0%B5%D0%BC%D0%B0_1._%D0%91%D1%96%D0%BE%D0%BB%D0%BE%D0%B3%D1%96%D1%8F_%E2%80%93_%D0%BD%D0%B0%D1%83%D0%BA%D0%B0_%D0%BF%D1%80%D0%BE_%D0%B6%D0%B8%D0%B2%D1%83_%D0%BF%D1%80%D0%B8%D1%80%D0%BE%D0%B4%D1%83._%D0%97%D0%BD%D0%B0%D1%87%D0%B5%D0%BD%D0%BD%D1%8F_%D0%B1%D1%96%D0%BE%D0%BB%D0%BE%D0%B3%D1%96%D1%97." \o "Тема 1. Біологія – наука про живу природу. Значення біології." </w:instrText>
      </w:r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30044">
        <w:rPr>
          <w:rFonts w:ascii="Arial" w:eastAsia="Times New Roman" w:hAnsi="Arial" w:cs="Arial"/>
          <w:b/>
          <w:bCs/>
          <w:color w:val="5A3696"/>
          <w:sz w:val="21"/>
          <w:szCs w:val="21"/>
          <w:u w:val="single"/>
          <w:lang w:eastAsia="ru-RU"/>
        </w:rPr>
        <w:t>біології</w:t>
      </w:r>
      <w:proofErr w:type="spellEnd"/>
      <w:r w:rsidRPr="00E30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Полягає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спостереженні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біологічними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об’єктами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явищами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та у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детальному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описуванні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первинний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сб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ір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загальної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інформації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об’єкт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дослідження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Моніторинг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постійного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спостереження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станом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перебігом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процесів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певного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живого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організму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екосистеми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всієї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іосфери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Порівняльний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виявляє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відмінності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схожість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</w:t>
      </w:r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іологічними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об’єктами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явищами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A3696"/>
          <w:sz w:val="21"/>
          <w:szCs w:val="21"/>
          <w:lang w:eastAsia="ru-RU"/>
        </w:rPr>
        <w:drawing>
          <wp:inline distT="0" distB="0" distL="0" distR="0">
            <wp:extent cx="3048000" cy="2266950"/>
            <wp:effectExtent l="0" t="0" r="0" b="0"/>
            <wp:docPr id="1" name="Рисунок 1" descr="Гербарій. Незамінимий помічник для порівняння будови частин різних рослин">
              <a:hlinkClick xmlns:a="http://schemas.openxmlformats.org/drawingml/2006/main" r:id="rId6" tooltip="&quot;Гербарій. Незамінимий помічник для порівняння будови частин різних росли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арій. Незамінимий помічник для порівняння будови частин різних рослин">
                      <a:hlinkClick r:id="rId6" tooltip="&quot;Гербарій. Незамінимий помічник для порівняння будови частин різних росли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Мал.1 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Гербарій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.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Незамінимий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помічник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порівняння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будови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частин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</w:t>
      </w:r>
      <w:proofErr w:type="gram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ізних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рослин</w:t>
      </w:r>
      <w:proofErr w:type="spellEnd"/>
      <w:r w:rsidRPr="00E3004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Історичний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дозволяє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сучасний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організм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минуле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відстежити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Експериментальний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метод –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створення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штучних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для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виявлення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певних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властивостей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організмі</w:t>
      </w:r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spellEnd"/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Експеримент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польовим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коли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іддослідні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організми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явища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перебувають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умовах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 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лабораторним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Pr="00E30044" w:rsidRDefault="00E30044" w:rsidP="00E30044">
      <w:pPr>
        <w:shd w:val="clear" w:color="auto" w:fill="FFFFFF"/>
        <w:spacing w:before="96" w:after="120" w:line="30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наш час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лабораторні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</w:t>
      </w:r>
      <w:proofErr w:type="gram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ідження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експерименти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сягнули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висот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усіх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наукових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галузях</w:t>
      </w:r>
      <w:proofErr w:type="spellEnd"/>
      <w:r w:rsidRPr="00E30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Моделювання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експерименту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Полягає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відтворенні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ознак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іджуваного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об’єкта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моделі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подальших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досліджень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3048000" cy="4067175"/>
            <wp:effectExtent l="0" t="0" r="0" b="9525"/>
            <wp:docPr id="3" name="Рисунок 3" descr="Модель людського скелета">
              <a:hlinkClick xmlns:a="http://schemas.openxmlformats.org/drawingml/2006/main" r:id="rId8" tooltip="&quot;Модель людського скеле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ь людського скелета">
                      <a:hlinkClick r:id="rId8" tooltip="&quot;Модель людського скеле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Мал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.2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Модель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людського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скелета.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3048000" cy="4333875"/>
            <wp:effectExtent l="0" t="0" r="0" b="9525"/>
            <wp:docPr id="2" name="Рисунок 2" descr="Модель ДНК">
              <a:hlinkClick xmlns:a="http://schemas.openxmlformats.org/drawingml/2006/main" r:id="rId10" tooltip="&quot;Модель ДН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ель ДНК">
                      <a:hlinkClick r:id="rId10" tooltip="&quot;Модель ДН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Мал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.3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Модель ДНК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Статистичний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метод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обробка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результатів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перевірки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вірогідності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30044" w:rsidRDefault="00E30044" w:rsidP="00E30044">
      <w:pPr>
        <w:pStyle w:val="3"/>
        <w:shd w:val="clear" w:color="auto" w:fill="FFFFFF"/>
        <w:spacing w:before="0" w:beforeAutospacing="0" w:after="72" w:afterAutospacing="0" w:line="305" w:lineRule="atLeast"/>
        <w:rPr>
          <w:rFonts w:ascii="Arial" w:hAnsi="Arial" w:cs="Arial"/>
          <w:color w:val="000000"/>
        </w:rPr>
      </w:pPr>
      <w:r>
        <w:rPr>
          <w:rStyle w:val="mw-headline"/>
          <w:rFonts w:ascii="Arial" w:hAnsi="Arial" w:cs="Arial"/>
          <w:color w:val="000000"/>
        </w:rPr>
        <w:t xml:space="preserve">Приклад лабораторного </w:t>
      </w:r>
      <w:proofErr w:type="spellStart"/>
      <w:proofErr w:type="gramStart"/>
      <w:r>
        <w:rPr>
          <w:rStyle w:val="mw-headline"/>
          <w:rFonts w:ascii="Arial" w:hAnsi="Arial" w:cs="Arial"/>
          <w:color w:val="000000"/>
        </w:rPr>
        <w:t>досл</w:t>
      </w:r>
      <w:proofErr w:type="gramEnd"/>
      <w:r>
        <w:rPr>
          <w:rStyle w:val="mw-headline"/>
          <w:rFonts w:ascii="Arial" w:hAnsi="Arial" w:cs="Arial"/>
          <w:color w:val="000000"/>
        </w:rPr>
        <w:t>ідження</w:t>
      </w:r>
      <w:proofErr w:type="spellEnd"/>
      <w:r>
        <w:rPr>
          <w:rStyle w:val="mw-headline"/>
          <w:rFonts w:ascii="Arial" w:hAnsi="Arial" w:cs="Arial"/>
          <w:color w:val="000000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</w:rPr>
        <w:t>лікарських</w:t>
      </w:r>
      <w:proofErr w:type="spellEnd"/>
      <w:r>
        <w:rPr>
          <w:rStyle w:val="mw-headline"/>
          <w:rFonts w:ascii="Arial" w:hAnsi="Arial" w:cs="Arial"/>
          <w:color w:val="000000"/>
        </w:rPr>
        <w:t xml:space="preserve"> </w:t>
      </w:r>
      <w:proofErr w:type="spellStart"/>
      <w:r>
        <w:rPr>
          <w:rStyle w:val="mw-headline"/>
          <w:rFonts w:ascii="Arial" w:hAnsi="Arial" w:cs="Arial"/>
          <w:color w:val="000000"/>
        </w:rPr>
        <w:t>рослин</w:t>
      </w:r>
      <w:proofErr w:type="spellEnd"/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Приклад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лабораторних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Особливості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всіх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притаманної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окремим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видам,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зумовлюється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багатогранним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мінливим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впливом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оточення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фактори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 грунт,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клімат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колообіг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 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вичерпного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описання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властивостей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лікарських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препаратів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потребується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ряд методик,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дозволяють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накопичення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Люмінісцентно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мікроскопічний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заснований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тому,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люмінесцентному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мікроскопі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яскраве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кольорове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причому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хімічні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колір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свічення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метод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використовують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основному,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скупчення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тканинах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інтенсивність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показує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більшу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меншу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Фітохімічний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аналіз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застосовується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кількісного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показника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вмісту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діючих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являється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головним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показником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доброякісності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3048000" cy="2343150"/>
            <wp:effectExtent l="0" t="0" r="0" b="0"/>
            <wp:docPr id="5" name="Рисунок 5" descr="Люмінісцентний мікроскоп">
              <a:hlinkClick xmlns:a="http://schemas.openxmlformats.org/drawingml/2006/main" r:id="rId12" tooltip="&quot;Люмінісцентний мікроскоп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юмінісцентний мікроскоп">
                      <a:hlinkClick r:id="rId12" tooltip="&quot;Люмінісцентний мікроскоп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044" w:rsidRDefault="00E30044" w:rsidP="00E30044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Мал.4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Люмінісцентний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мікроскоп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3048000" cy="2105025"/>
            <wp:effectExtent l="0" t="0" r="0" b="9525"/>
            <wp:docPr id="4" name="Рисунок 4" descr="Ось так може виглядати біологічна лабораторія">
              <a:hlinkClick xmlns:a="http://schemas.openxmlformats.org/drawingml/2006/main" r:id="rId14" tooltip="&quot;Ось так може виглядати біологічна лабораторі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ь так може виглядати біологічна лабораторія">
                      <a:hlinkClick r:id="rId14" tooltip="&quot;Ось так може виглядати біологічна лабораторі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1C6784" w:rsidRDefault="001C6784">
      <w:bookmarkStart w:id="0" w:name="_GoBack"/>
      <w:bookmarkEnd w:id="0"/>
    </w:p>
    <w:sectPr w:rsidR="001C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44"/>
    <w:rsid w:val="001C6784"/>
    <w:rsid w:val="00E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0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0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E30044"/>
  </w:style>
  <w:style w:type="paragraph" w:styleId="a3">
    <w:name w:val="Normal (Web)"/>
    <w:basedOn w:val="a"/>
    <w:uiPriority w:val="99"/>
    <w:semiHidden/>
    <w:unhideWhenUsed/>
    <w:rsid w:val="00E3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0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044"/>
  </w:style>
  <w:style w:type="paragraph" w:styleId="a5">
    <w:name w:val="Balloon Text"/>
    <w:basedOn w:val="a"/>
    <w:link w:val="a6"/>
    <w:uiPriority w:val="99"/>
    <w:semiHidden/>
    <w:unhideWhenUsed/>
    <w:rsid w:val="00E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0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0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E30044"/>
  </w:style>
  <w:style w:type="paragraph" w:styleId="a3">
    <w:name w:val="Normal (Web)"/>
    <w:basedOn w:val="a"/>
    <w:uiPriority w:val="99"/>
    <w:semiHidden/>
    <w:unhideWhenUsed/>
    <w:rsid w:val="00E3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00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044"/>
  </w:style>
  <w:style w:type="paragraph" w:styleId="a5">
    <w:name w:val="Balloon Text"/>
    <w:basedOn w:val="a"/>
    <w:link w:val="a6"/>
    <w:uiPriority w:val="99"/>
    <w:semiHidden/>
    <w:unhideWhenUsed/>
    <w:rsid w:val="00E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Skeleton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.xvatit.com/index.php?title=%D0%A4%D0%B0%D0%B9%D0%BB:Micros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4%D0%B0%D0%B9%D0%BB:Gerb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91%D1%96%D0%BE%D0%BB%D0%BE%D0%B3%D1%96%D1%8F_%E2%80%94_%D0%BD%D0%B0%D1%83%D0%BA%D0%B0_%D0%BF%D1%80%D0%BE_%D0%B6%D0%B8%D0%B2%D1%83_%D0%BF%D1%80%D0%B8%D1%80%D0%BE%D0%B4%D1%83._%D0%97%D0%BD%D0%B0%D1%87%D0%B5%D0%BD%D0%BD%D1%8F_%D0%B1%D1%96%D0%BE%D0%BB%D0%BE%D0%B3%D1%96%D1%97._%D0%9F%D0%BE%D0%B2%D0%BD%D1%96_%D1%83%D1%80%D0%BE%D0%BA%D0%B8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school.xvatit.com/index.php?title=%D0%A4%D0%B0%D0%B9%D0%BB:Dnk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school.xvatit.com/index.php?title=%D0%A4%D0%B0%D0%B9%D0%BB:La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2013-01-19T18:31:00Z</dcterms:created>
  <dcterms:modified xsi:type="dcterms:W3CDTF">2013-01-19T18:33:00Z</dcterms:modified>
</cp:coreProperties>
</file>