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D5" w:rsidRDefault="000817D5" w:rsidP="000817D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Ірраціональними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називаються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 xml:space="preserve">, у </w:t>
      </w:r>
      <w:proofErr w:type="spellStart"/>
      <w:r>
        <w:rPr>
          <w:color w:val="000000"/>
          <w:sz w:val="28"/>
          <w:szCs w:val="28"/>
        </w:rPr>
        <w:t>якиx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міститься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знаком </w:t>
      </w:r>
      <w:proofErr w:type="spellStart"/>
      <w:r>
        <w:rPr>
          <w:color w:val="000000"/>
          <w:sz w:val="28"/>
          <w:szCs w:val="28"/>
        </w:rPr>
        <w:t>кореня</w:t>
      </w:r>
      <w:proofErr w:type="spellEnd"/>
      <w:r>
        <w:rPr>
          <w:color w:val="000000"/>
          <w:sz w:val="28"/>
          <w:szCs w:val="28"/>
        </w:rPr>
        <w:t xml:space="preserve"> (радикала)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знаком </w:t>
      </w:r>
      <w:proofErr w:type="spellStart"/>
      <w:r>
        <w:rPr>
          <w:color w:val="000000"/>
          <w:sz w:val="28"/>
          <w:szCs w:val="28"/>
        </w:rPr>
        <w:t>піднесення</w:t>
      </w:r>
      <w:proofErr w:type="spellEnd"/>
      <w:r>
        <w:rPr>
          <w:color w:val="000000"/>
          <w:sz w:val="28"/>
          <w:szCs w:val="28"/>
        </w:rPr>
        <w:t xml:space="preserve"> до дробового </w:t>
      </w:r>
      <w:proofErr w:type="spellStart"/>
      <w:r>
        <w:rPr>
          <w:color w:val="000000"/>
          <w:sz w:val="28"/>
          <w:szCs w:val="28"/>
        </w:rPr>
        <w:t>степеня</w:t>
      </w:r>
      <w:proofErr w:type="spellEnd"/>
      <w:r>
        <w:rPr>
          <w:color w:val="000000"/>
          <w:sz w:val="28"/>
          <w:szCs w:val="28"/>
        </w:rPr>
        <w:t>.</w:t>
      </w:r>
    </w:p>
    <w:p w:rsidR="000817D5" w:rsidRDefault="000817D5" w:rsidP="000817D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окремих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випадках</w:t>
      </w:r>
      <w:proofErr w:type="spellEnd"/>
      <w:r>
        <w:rPr>
          <w:color w:val="000000"/>
          <w:sz w:val="28"/>
          <w:szCs w:val="28"/>
        </w:rPr>
        <w:t xml:space="preserve">, не </w:t>
      </w:r>
      <w:proofErr w:type="spellStart"/>
      <w:r>
        <w:rPr>
          <w:color w:val="000000"/>
          <w:sz w:val="28"/>
          <w:szCs w:val="28"/>
        </w:rPr>
        <w:t>розв’язуючи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ірраціональне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встановити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воно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коренів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45400F3E" wp14:editId="61255927">
            <wp:extent cx="990600" cy="285750"/>
            <wp:effectExtent l="0" t="0" r="0" b="0"/>
            <wp:docPr id="1" name="Рисунок 1" descr="http://posibnyky.vntu.edu.ua/muh_2/7_src/7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osibnyky.vntu.edu.ua/muh_2/7_src/7_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 не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коренів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арифметичний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корінь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від’ємним</w:t>
      </w:r>
      <w:proofErr w:type="spellEnd"/>
      <w:r>
        <w:rPr>
          <w:color w:val="000000"/>
          <w:sz w:val="28"/>
          <w:szCs w:val="28"/>
        </w:rPr>
        <w:t>.</w:t>
      </w:r>
    </w:p>
    <w:p w:rsidR="000817D5" w:rsidRDefault="000817D5" w:rsidP="000817D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45959EDB" wp14:editId="0921785B">
            <wp:extent cx="1333500" cy="285750"/>
            <wp:effectExtent l="0" t="0" r="0" b="0"/>
            <wp:docPr id="2" name="Рисунок 2" descr="http://posibnyky.vntu.edu.ua/muh_2/7_src/7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posibnyky.vntu.edu.ua/muh_2/7_src/7_image0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 не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розв’язків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обидва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доданки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арифметичними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коренями</w:t>
      </w:r>
      <w:proofErr w:type="spellEnd"/>
      <w:r>
        <w:rPr>
          <w:color w:val="000000"/>
          <w:sz w:val="28"/>
          <w:szCs w:val="28"/>
        </w:rPr>
        <w:t xml:space="preserve">, а тому не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від’ємними</w:t>
      </w:r>
      <w:proofErr w:type="spellEnd"/>
      <w:r>
        <w:rPr>
          <w:color w:val="000000"/>
          <w:sz w:val="28"/>
          <w:szCs w:val="28"/>
        </w:rPr>
        <w:t xml:space="preserve">. А сума </w:t>
      </w:r>
      <w:proofErr w:type="spellStart"/>
      <w:r>
        <w:rPr>
          <w:color w:val="000000"/>
          <w:sz w:val="28"/>
          <w:szCs w:val="28"/>
        </w:rPr>
        <w:t>двох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невід’ємних</w:t>
      </w:r>
      <w:proofErr w:type="spellEnd"/>
      <w:r>
        <w:rPr>
          <w:color w:val="000000"/>
          <w:sz w:val="28"/>
          <w:szCs w:val="28"/>
        </w:rPr>
        <w:t xml:space="preserve"> чисел </w:t>
      </w:r>
      <w:proofErr w:type="spellStart"/>
      <w:r>
        <w:rPr>
          <w:color w:val="000000"/>
          <w:sz w:val="28"/>
          <w:szCs w:val="28"/>
        </w:rPr>
        <w:t>дорівнює</w:t>
      </w:r>
      <w:proofErr w:type="spellEnd"/>
      <w:r>
        <w:rPr>
          <w:color w:val="000000"/>
          <w:sz w:val="28"/>
          <w:szCs w:val="28"/>
        </w:rPr>
        <w:t xml:space="preserve"> нулю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тоді</w:t>
      </w:r>
      <w:proofErr w:type="spellEnd"/>
      <w:r>
        <w:rPr>
          <w:color w:val="000000"/>
          <w:sz w:val="28"/>
          <w:szCs w:val="28"/>
        </w:rPr>
        <w:t xml:space="preserve">, коли </w:t>
      </w:r>
      <w:proofErr w:type="spellStart"/>
      <w:r>
        <w:rPr>
          <w:color w:val="000000"/>
          <w:sz w:val="28"/>
          <w:szCs w:val="28"/>
        </w:rPr>
        <w:t>кожен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доданок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дорівнює</w:t>
      </w:r>
      <w:proofErr w:type="spellEnd"/>
      <w:r>
        <w:rPr>
          <w:color w:val="000000"/>
          <w:sz w:val="28"/>
          <w:szCs w:val="28"/>
        </w:rPr>
        <w:t xml:space="preserve"> нулю. </w:t>
      </w:r>
      <w:proofErr w:type="spellStart"/>
      <w:r>
        <w:rPr>
          <w:color w:val="000000"/>
          <w:sz w:val="28"/>
          <w:szCs w:val="28"/>
        </w:rPr>
        <w:t>Одночасно</w:t>
      </w:r>
      <w:proofErr w:type="spellEnd"/>
      <w:r>
        <w:rPr>
          <w:color w:val="000000"/>
          <w:sz w:val="28"/>
          <w:szCs w:val="28"/>
        </w:rPr>
        <w:t xml:space="preserve"> ж </w:t>
      </w:r>
      <w:proofErr w:type="spellStart"/>
      <w:r>
        <w:rPr>
          <w:color w:val="000000"/>
          <w:sz w:val="28"/>
          <w:szCs w:val="28"/>
        </w:rPr>
        <w:t>вирази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17FC0F87" wp14:editId="72B667DA">
            <wp:extent cx="438150" cy="209550"/>
            <wp:effectExtent l="0" t="0" r="0" b="0"/>
            <wp:docPr id="3" name="Рисунок 3" descr="http://posibnyky.vntu.edu.ua/muh_2/7_src/7_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posibnyky.vntu.edu.ua/muh_2/7_src/7_image0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і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3BEC6AF6" wp14:editId="4596F43F">
            <wp:extent cx="152400" cy="171450"/>
            <wp:effectExtent l="0" t="0" r="0" b="0"/>
            <wp:docPr id="4" name="Рисунок 4" descr="http://posibnyky.vntu.edu.ua/muh_2/7_src/7_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posibnyky.vntu.edu.ua/muh_2/7_src/7_image0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нулю </w:t>
      </w:r>
      <w:proofErr w:type="spellStart"/>
      <w:r>
        <w:rPr>
          <w:color w:val="000000"/>
          <w:sz w:val="28"/>
          <w:szCs w:val="28"/>
        </w:rPr>
        <w:t>дорівнювати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>.</w:t>
      </w:r>
    </w:p>
    <w:p w:rsidR="000817D5" w:rsidRDefault="000817D5" w:rsidP="000817D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Основними</w:t>
      </w:r>
      <w:proofErr w:type="spellEnd"/>
      <w:r>
        <w:rPr>
          <w:b/>
          <w:bCs/>
          <w:color w:val="000000"/>
          <w:sz w:val="28"/>
          <w:szCs w:val="28"/>
        </w:rPr>
        <w:t xml:space="preserve"> методами </w:t>
      </w:r>
      <w:proofErr w:type="spellStart"/>
      <w:r>
        <w:rPr>
          <w:b/>
          <w:bCs/>
          <w:color w:val="000000"/>
          <w:sz w:val="28"/>
          <w:szCs w:val="28"/>
        </w:rPr>
        <w:t>розв’язування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ірраціональних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рівнянь</w:t>
      </w:r>
      <w:proofErr w:type="spellEnd"/>
      <w:r>
        <w:rPr>
          <w:color w:val="000000"/>
          <w:sz w:val="28"/>
          <w:szCs w:val="28"/>
        </w:rPr>
        <w:t xml:space="preserve"> є метод </w:t>
      </w:r>
      <w:proofErr w:type="spellStart"/>
      <w:r>
        <w:rPr>
          <w:color w:val="000000"/>
          <w:sz w:val="28"/>
          <w:szCs w:val="28"/>
        </w:rPr>
        <w:t>піднесення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 xml:space="preserve"> до одного і того самого </w:t>
      </w:r>
      <w:proofErr w:type="spellStart"/>
      <w:r>
        <w:rPr>
          <w:color w:val="000000"/>
          <w:sz w:val="28"/>
          <w:szCs w:val="28"/>
        </w:rPr>
        <w:t>степеня</w:t>
      </w:r>
      <w:proofErr w:type="spellEnd"/>
      <w:r>
        <w:rPr>
          <w:color w:val="000000"/>
          <w:sz w:val="28"/>
          <w:szCs w:val="28"/>
        </w:rPr>
        <w:t xml:space="preserve"> та метод </w:t>
      </w:r>
      <w:proofErr w:type="spellStart"/>
      <w:r>
        <w:rPr>
          <w:color w:val="000000"/>
          <w:sz w:val="28"/>
          <w:szCs w:val="28"/>
        </w:rPr>
        <w:t>введення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змінних</w:t>
      </w:r>
      <w:proofErr w:type="spellEnd"/>
      <w:r>
        <w:rPr>
          <w:color w:val="000000"/>
          <w:sz w:val="28"/>
          <w:szCs w:val="28"/>
        </w:rPr>
        <w:t>.</w:t>
      </w:r>
    </w:p>
    <w:p w:rsidR="000817D5" w:rsidRDefault="000817D5" w:rsidP="000817D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</w:t>
      </w:r>
      <w:proofErr w:type="spellStart"/>
      <w:r>
        <w:rPr>
          <w:color w:val="000000"/>
          <w:sz w:val="28"/>
          <w:szCs w:val="28"/>
        </w:rPr>
        <w:t>розв’язуванні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ірраціональних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рівнянь</w:t>
      </w:r>
      <w:proofErr w:type="spellEnd"/>
      <w:r>
        <w:rPr>
          <w:color w:val="000000"/>
          <w:sz w:val="28"/>
          <w:szCs w:val="28"/>
        </w:rPr>
        <w:t xml:space="preserve"> методом </w:t>
      </w:r>
      <w:proofErr w:type="spellStart"/>
      <w:r>
        <w:rPr>
          <w:color w:val="000000"/>
          <w:sz w:val="28"/>
          <w:szCs w:val="28"/>
        </w:rPr>
        <w:t>піднесення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</w:t>
      </w:r>
      <w:proofErr w:type="spellEnd"/>
      <w:r>
        <w:rPr>
          <w:color w:val="000000"/>
          <w:sz w:val="28"/>
          <w:szCs w:val="28"/>
        </w:rPr>
        <w:t xml:space="preserve"> до парного </w:t>
      </w:r>
      <w:proofErr w:type="spellStart"/>
      <w:r>
        <w:rPr>
          <w:color w:val="000000"/>
          <w:sz w:val="28"/>
          <w:szCs w:val="28"/>
        </w:rPr>
        <w:t>степеня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з’явитися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побічні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корені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відбувається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того,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піднесенні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</w:t>
      </w:r>
      <w:proofErr w:type="spellEnd"/>
      <w:r>
        <w:rPr>
          <w:color w:val="000000"/>
          <w:sz w:val="28"/>
          <w:szCs w:val="28"/>
        </w:rPr>
        <w:t xml:space="preserve"> початкового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77D02CB1" wp14:editId="6E3B6D4C">
            <wp:extent cx="990600" cy="257175"/>
            <wp:effectExtent l="0" t="0" r="0" b="9525"/>
            <wp:docPr id="5" name="Рисунок 5" descr="http://posibnyky.vntu.edu.ua/muh_2/7_src/7_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posibnyky.vntu.edu.ua/muh_2/7_src/7_image0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 до парного </w:t>
      </w:r>
      <w:proofErr w:type="spellStart"/>
      <w:r>
        <w:rPr>
          <w:color w:val="000000"/>
          <w:sz w:val="28"/>
          <w:szCs w:val="28"/>
        </w:rPr>
        <w:t>степеня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дістаємо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є результатом не </w:t>
      </w:r>
      <w:proofErr w:type="spellStart"/>
      <w:r>
        <w:rPr>
          <w:color w:val="000000"/>
          <w:sz w:val="28"/>
          <w:szCs w:val="28"/>
        </w:rPr>
        <w:t>тільки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084F6D87" wp14:editId="17D99F0D">
            <wp:extent cx="990600" cy="257175"/>
            <wp:effectExtent l="0" t="0" r="0" b="9525"/>
            <wp:docPr id="6" name="Рисунок 6" descr="http://posibnyky.vntu.edu.ua/muh_2/7_src/7_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posibnyky.vntu.edu.ua/muh_2/7_src/7_image0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, але і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6A2984D2" wp14:editId="2E1EDDFC">
            <wp:extent cx="1104900" cy="257175"/>
            <wp:effectExtent l="0" t="0" r="0" b="9525"/>
            <wp:docPr id="7" name="Рисунок 7" descr="http://posibnyky.vntu.edu.ua/muh_2/7_src/7_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osibnyky.vntu.edu.ua/muh_2/7_src/7_image01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і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55D94FA5" wp14:editId="3143EA1B">
            <wp:extent cx="1409700" cy="314325"/>
            <wp:effectExtent l="0" t="0" r="0" b="9525"/>
            <wp:docPr id="8" name="Рисунок 8" descr="http://posibnyky.vntu.edu.ua/muh_2/7_src/7_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posibnyky.vntu.edu.ua/muh_2/7_src/7_image01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, і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0CD1413D" wp14:editId="0051307D">
            <wp:extent cx="1552575" cy="314325"/>
            <wp:effectExtent l="0" t="0" r="9525" b="9525"/>
            <wp:docPr id="9" name="Рисунок 9" descr="http://posibnyky.vntu.edu.ua/muh_2/7_src/7_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posibnyky.vntu.edu.ua/muh_2/7_src/7_image0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. Так, </w:t>
      </w:r>
      <w:proofErr w:type="spellStart"/>
      <w:r>
        <w:rPr>
          <w:color w:val="000000"/>
          <w:sz w:val="28"/>
          <w:szCs w:val="28"/>
        </w:rPr>
        <w:t>наприклад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візьмемо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52C081E6" wp14:editId="5E41AE98">
            <wp:extent cx="1133475" cy="285750"/>
            <wp:effectExtent l="0" t="0" r="9525" b="0"/>
            <wp:docPr id="10" name="Рисунок 10" descr="http://posibnyky.vntu.edu.ua/muh_2/7_src/7_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posibnyky.vntu.edu.ua/muh_2/7_src/7_image01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Піднісши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обидві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>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квад-рата</w:t>
      </w:r>
      <w:proofErr w:type="spellEnd"/>
      <w:r>
        <w:rPr>
          <w:color w:val="000000"/>
          <w:sz w:val="28"/>
          <w:szCs w:val="28"/>
        </w:rPr>
        <w:t xml:space="preserve">, </w:t>
      </w:r>
      <w:bookmarkStart w:id="0" w:name="_GoBack"/>
      <w:bookmarkEnd w:id="0"/>
      <w:proofErr w:type="spellStart"/>
      <w:r>
        <w:rPr>
          <w:color w:val="000000"/>
          <w:sz w:val="28"/>
          <w:szCs w:val="28"/>
        </w:rPr>
        <w:t>дістанемо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3E442BFF" wp14:editId="07A7DF3C">
            <wp:extent cx="3267075" cy="323850"/>
            <wp:effectExtent l="0" t="0" r="9525" b="0"/>
            <wp:docPr id="11" name="Рисунок 11" descr="http://posibnyky.vntu.edu.ua/muh_2/7_src/7_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posibnyky.vntu.edu.ua/muh_2/7_src/7_image02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5858AE80" wp14:editId="11E535D4">
            <wp:extent cx="266700" cy="180975"/>
            <wp:effectExtent l="0" t="0" r="0" b="9525"/>
            <wp:docPr id="12" name="Рисунок 12" descr="http://posibnyky.vntu.edu.ua/muh_2/7_src/7_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posibnyky.vntu.edu.ua/muh_2/7_src/7_image02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5D2B4EAC" wp14:editId="34EBB89D">
            <wp:extent cx="1247775" cy="238125"/>
            <wp:effectExtent l="0" t="0" r="9525" b="9525"/>
            <wp:docPr id="13" name="Рисунок 13" descr="http://posibnyky.vntu.edu.ua/muh_2/7_src/7_image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posibnyky.vntu.edu.ua/muh_2/7_src/7_image02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vertAlign w:val="subscript"/>
        </w:rPr>
        <w:t> </w:t>
      </w:r>
      <w:proofErr w:type="spellStart"/>
      <w:r>
        <w:rPr>
          <w:color w:val="000000"/>
          <w:sz w:val="28"/>
          <w:szCs w:val="28"/>
        </w:rPr>
        <w:t>Коренями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 xml:space="preserve"> є числа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61760515" wp14:editId="7611E4DE">
            <wp:extent cx="609600" cy="266700"/>
            <wp:effectExtent l="0" t="0" r="0" b="0"/>
            <wp:docPr id="14" name="Рисунок 14" descr="http://posibnyky.vntu.edu.ua/muh_2/7_src/7_image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posibnyky.vntu.edu.ua/muh_2/7_src/7_image02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vertAlign w:val="subscript"/>
        </w:rPr>
        <w:t>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07ADE65A" wp14:editId="1420150D">
            <wp:extent cx="561975" cy="266700"/>
            <wp:effectExtent l="0" t="0" r="9525" b="0"/>
            <wp:docPr id="15" name="Рисунок 15" descr="http://posibnyky.vntu.edu.ua/muh_2/7_src/7_image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posibnyky.vntu.edu.ua/muh_2/7_src/7_image02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Однак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перевірки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переконуємось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356AB781" wp14:editId="59737724">
            <wp:extent cx="533400" cy="266700"/>
            <wp:effectExtent l="0" t="0" r="0" b="0"/>
            <wp:docPr id="16" name="Рисунок 16" descr="http://posibnyky.vntu.edu.ua/muh_2/7_src/7_image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posibnyky.vntu.edu.ua/muh_2/7_src/7_image03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 є </w:t>
      </w:r>
      <w:proofErr w:type="spellStart"/>
      <w:r>
        <w:rPr>
          <w:color w:val="000000"/>
          <w:sz w:val="28"/>
          <w:szCs w:val="28"/>
        </w:rPr>
        <w:t>коренем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5A0E9B2A" wp14:editId="5EF993C3">
            <wp:extent cx="1133475" cy="285750"/>
            <wp:effectExtent l="0" t="0" r="9525" b="0"/>
            <wp:docPr id="17" name="Рисунок 17" descr="http://posibnyky.vntu.edu.ua/muh_2/7_src/7_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posibnyky.vntu.edu.ua/muh_2/7_src/7_image01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, а </w:t>
      </w:r>
      <w:r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7D638926" wp14:editId="7B0F6F59">
            <wp:extent cx="590550" cy="266700"/>
            <wp:effectExtent l="0" t="0" r="0" b="0"/>
            <wp:docPr id="18" name="Рисунок 18" descr="http://posibnyky.vntu.edu.ua/muh_2/7_src/7_image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posibnyky.vntu.edu.ua/muh_2/7_src/7_image03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 є </w:t>
      </w:r>
      <w:proofErr w:type="spellStart"/>
      <w:r>
        <w:rPr>
          <w:color w:val="000000"/>
          <w:sz w:val="28"/>
          <w:szCs w:val="28"/>
        </w:rPr>
        <w:t>побічним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коренем</w:t>
      </w:r>
      <w:proofErr w:type="spellEnd"/>
      <w:r>
        <w:rPr>
          <w:color w:val="000000"/>
          <w:sz w:val="28"/>
          <w:szCs w:val="28"/>
        </w:rPr>
        <w:t>.</w:t>
      </w:r>
    </w:p>
    <w:p w:rsidR="000817D5" w:rsidRDefault="000817D5" w:rsidP="000817D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Приступаючи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розв’язання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ірраціонального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містить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степені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радикалів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буває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корисним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знаходження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допустимих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значень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ОДЗ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, як правило, </w:t>
      </w:r>
      <w:proofErr w:type="spellStart"/>
      <w:r>
        <w:rPr>
          <w:color w:val="000000"/>
          <w:sz w:val="28"/>
          <w:szCs w:val="28"/>
        </w:rPr>
        <w:t>полегшує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розв’язування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еквівалентні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перетворення</w:t>
      </w:r>
      <w:proofErr w:type="spellEnd"/>
      <w:r>
        <w:rPr>
          <w:color w:val="000000"/>
          <w:sz w:val="28"/>
          <w:szCs w:val="28"/>
        </w:rPr>
        <w:t xml:space="preserve">, то </w:t>
      </w:r>
      <w:proofErr w:type="spellStart"/>
      <w:r>
        <w:rPr>
          <w:color w:val="000000"/>
          <w:sz w:val="28"/>
          <w:szCs w:val="28"/>
        </w:rPr>
        <w:t>перевірку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робити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потрібно</w:t>
      </w:r>
      <w:proofErr w:type="spellEnd"/>
      <w:r>
        <w:rPr>
          <w:color w:val="000000"/>
          <w:sz w:val="28"/>
          <w:szCs w:val="28"/>
        </w:rPr>
        <w:t>.</w:t>
      </w:r>
    </w:p>
    <w:p w:rsidR="00E73364" w:rsidRDefault="00E73364"/>
    <w:sectPr w:rsidR="00E7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8F"/>
    <w:rsid w:val="000817D5"/>
    <w:rsid w:val="00A66D8F"/>
    <w:rsid w:val="00E7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C775"/>
  <w15:chartTrackingRefBased/>
  <w15:docId w15:val="{77091312-B80E-4556-8A84-5754DBCB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2017-10-27T06:13:00Z</dcterms:created>
  <dcterms:modified xsi:type="dcterms:W3CDTF">2017-10-27T06:19:00Z</dcterms:modified>
</cp:coreProperties>
</file>