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3F" w:rsidRPr="00956B3F" w:rsidRDefault="00956B3F" w:rsidP="00956B3F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bookmarkStart w:id="0" w:name="bookmark475"/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8"/>
          <w:szCs w:val="28"/>
        </w:rPr>
        <w:t>Аміни</w:t>
      </w:r>
      <w:bookmarkEnd w:id="0"/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—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це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клас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органічних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сполук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які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містять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у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своєму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складі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іногрупу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(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).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Аміногрупа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є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функціональною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для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цього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класу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сполук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Простий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представник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цього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класу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—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метиламін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(СН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3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).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Загальна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формула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насичених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: С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+1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-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NH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або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С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+3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bookmarkStart w:id="1" w:name="bookmark476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 </w:t>
      </w:r>
      <w:bookmarkEnd w:id="1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 xml:space="preserve">Номенклатура </w:t>
      </w: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амі</w:t>
      </w:r>
      <w:proofErr w:type="gram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н</w:t>
      </w:r>
      <w:proofErr w:type="gramEnd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ів</w:t>
      </w:r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Необхідно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розрізняти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поняття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«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аммі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»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«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ін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».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Поняття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«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аммін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»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відповідає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сполукам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поняття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«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»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характеризує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клас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органічних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сполук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Правила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побудови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назви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аналогічні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таким самим правилам для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спиртів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Назва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походить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назви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відповідного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вуглеводню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при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цьому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перед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назвою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вуглеводню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ставиться номер атома Карбону,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яким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сполучена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аміногрупа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префікс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«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».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Напииклад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сполука</w:t>
      </w:r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1152525" cy="590550"/>
            <wp:effectExtent l="19050" t="0" r="9525" b="0"/>
            <wp:docPr id="1" name="Рисунок 1" descr="http://subject.com.ua/chemistry/zno/zno.files/image1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chemistry/zno/zno.files/image15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називатиметься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2-амінопропан.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Залежно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кількості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атомів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Гідрогену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кількості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замісникі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</w:t>
      </w:r>
      <w:proofErr w:type="spellEnd"/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безпосередньо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сполучених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атомом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Нітрогену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класифікують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на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первинні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вторинні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третинні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та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четвертинні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4"/>
        <w:gridCol w:w="2008"/>
        <w:gridCol w:w="2295"/>
        <w:gridCol w:w="2488"/>
      </w:tblGrid>
      <w:tr w:rsidR="00956B3F" w:rsidRPr="00956B3F" w:rsidTr="00956B3F">
        <w:trPr>
          <w:trHeight w:val="342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Приклад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Кількість</w:t>
            </w:r>
            <w:proofErr w:type="spellEnd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атомів</w:t>
            </w:r>
            <w:proofErr w:type="spellEnd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Гідрогену</w:t>
            </w:r>
            <w:proofErr w:type="spellEnd"/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Кількість</w:t>
            </w:r>
            <w:proofErr w:type="spellEnd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замісникі</w:t>
            </w:r>
            <w:proofErr w:type="gram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956B3F" w:rsidRPr="00956B3F" w:rsidTr="00956B3F">
        <w:trPr>
          <w:trHeight w:val="307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Первинний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lang w:val="en-US"/>
              </w:rPr>
              <w:t>CH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3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lang w:val="en-US"/>
              </w:rPr>
              <w:t>NH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1</w:t>
            </w:r>
          </w:p>
        </w:tc>
      </w:tr>
      <w:tr w:rsidR="00956B3F" w:rsidRPr="00956B3F" w:rsidTr="00956B3F">
        <w:trPr>
          <w:trHeight w:val="302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Вторинний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(СН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3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)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2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lang w:val="en-US"/>
              </w:rPr>
              <w:t>NH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2</w:t>
            </w:r>
          </w:p>
        </w:tc>
      </w:tr>
      <w:tr w:rsidR="00956B3F" w:rsidRPr="00956B3F" w:rsidTr="00956B3F">
        <w:trPr>
          <w:trHeight w:val="307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Третинний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(СН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)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3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3</w:t>
            </w:r>
          </w:p>
        </w:tc>
      </w:tr>
      <w:tr w:rsidR="00956B3F" w:rsidRPr="00956B3F" w:rsidTr="00956B3F">
        <w:trPr>
          <w:trHeight w:val="306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Четвертинний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(СН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3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)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vertAlign w:val="subscript"/>
              </w:rPr>
              <w:t>4</w:t>
            </w: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3F" w:rsidRPr="00956B3F" w:rsidRDefault="00956B3F" w:rsidP="00956B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4 (</w:t>
            </w: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сольова</w:t>
            </w:r>
            <w:proofErr w:type="spellEnd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будова</w:t>
            </w:r>
            <w:proofErr w:type="spellEnd"/>
            <w:r w:rsidRPr="00956B3F">
              <w:rPr>
                <w:rFonts w:ascii="Verdana" w:eastAsia="Times New Roman" w:hAnsi="Verdana" w:cs="Courier New"/>
                <w:color w:val="000000"/>
                <w:sz w:val="24"/>
                <w:szCs w:val="24"/>
              </w:rPr>
              <w:t>)</w:t>
            </w:r>
          </w:p>
        </w:tc>
      </w:tr>
    </w:tbl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bookmarkStart w:id="2" w:name="bookmark477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 </w:t>
      </w:r>
      <w:bookmarkEnd w:id="2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Фізичні</w:t>
      </w:r>
      <w:proofErr w:type="spellEnd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властивості</w:t>
      </w:r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  <w:lang w:val="en-US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За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нормальних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умов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усі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є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ідинами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або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твердими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речовинами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окрім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метиламіну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(СН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3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,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t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кип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= -6,9 °С). </w:t>
      </w:r>
      <w:proofErr w:type="spellStart"/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збільшенням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кількості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атомів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Карбону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температури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фазових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переходів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збільшуються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Якщо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розташувати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температури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плавлення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кипіння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третинних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вторинних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первинних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у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ряд, то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можна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простежити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закономірність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: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трет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&lt;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втор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&lt;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перв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Це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пояснюється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утворенням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міжмолекулярних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водневих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зв’язків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між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атомом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Нітрогену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й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атомами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Гідрогену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аміногрупи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: у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lastRenderedPageBreak/>
        <w:t>третинних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амінах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такого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водню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нема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є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,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відповідно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міжмолекулярні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взаємодії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слабші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Нижчі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добре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розчиняються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у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воді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а гомологи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великою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кількістю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атомів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Карбону — погано.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мають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запах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амоніаку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а 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у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разі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сильного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розбавлення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запах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подібний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до запаху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риби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Методи</w:t>
      </w:r>
      <w:proofErr w:type="spellEnd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добування</w:t>
      </w:r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b/>
          <w:bCs/>
          <w:sz w:val="27"/>
          <w:szCs w:val="27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1.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Реакція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Гофмана (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алкілування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амоніаку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галогеналканами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):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562225" cy="209550"/>
            <wp:effectExtent l="19050" t="0" r="9525" b="0"/>
            <wp:docPr id="2" name="Рисунок 2" descr="http://subject.com.ua/chemistry/zno/zno.files/image1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chemistry/zno/zno.files/image15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Перебіг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реакції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продовжується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при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цьому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відбувається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алкілування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RN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й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утворення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вторинної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похідної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R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Н,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так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далі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аж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до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утворення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четвертинної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амонійної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солі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705100" cy="609600"/>
            <wp:effectExtent l="19050" t="0" r="0" b="0"/>
            <wp:docPr id="3" name="Рисунок 3" descr="http://subject.com.ua/chemistry/zno/zno.files/image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ject.com.ua/chemistry/zno/zno.files/image15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2.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Взаємодія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амоніаку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оксосполуками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(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альдегідами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та кетонами):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971800" cy="190500"/>
            <wp:effectExtent l="19050" t="0" r="0" b="0"/>
            <wp:docPr id="4" name="Рисунок 4" descr="http://subject.com.ua/chemistry/zno/zno.files/image1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bject.com.ua/chemistry/zno/zno.files/image15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2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3.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Взаємодія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амідів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карбонових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кислот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натрій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гіпохлоритом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(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розщеплення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за Гофманом):</w:t>
      </w:r>
    </w:p>
    <w:p w:rsidR="00956B3F" w:rsidRPr="00956B3F" w:rsidRDefault="00956B3F" w:rsidP="00956B3F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838450" cy="171450"/>
            <wp:effectExtent l="19050" t="0" r="0" b="0"/>
            <wp:docPr id="5" name="Рисунок 5" descr="http://subject.com.ua/chemistry/zno/zno.files/image1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bject.com.ua/chemistry/zno/zno.files/image15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  <w:lang w:val="en-US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bookmarkStart w:id="3" w:name="bookmark478"/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Хімічні</w:t>
      </w:r>
      <w:proofErr w:type="spellEnd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властивості</w:t>
      </w:r>
      <w:bookmarkEnd w:id="3"/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1.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Кислотно-основні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властивості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Водні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розчини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показують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лужну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реакцію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аналогічно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амоніаку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за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рахунок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гідролізу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152650" cy="228600"/>
            <wp:effectExtent l="19050" t="0" r="0" b="0"/>
            <wp:docPr id="6" name="Рисунок 6" descr="http://subject.com.ua/chemistry/zno/zno.files/image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bject.com.ua/chemistry/zno/zno.files/image159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2.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Алкілування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ідбувається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аналогічно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алкілуванню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амоніаку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(див. метод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добування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№1).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3.</w:t>
      </w:r>
      <w:r w:rsidRPr="00956B3F">
        <w:rPr>
          <w:rFonts w:ascii="Verdana" w:eastAsia="Times New Roman" w:hAnsi="Verdana" w:cs="Courier New"/>
          <w:color w:val="000000"/>
          <w:sz w:val="27"/>
        </w:rPr>
        <w:t> 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Взаємодія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з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нітритною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кислотою (Н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NO</w:t>
      </w:r>
      <w:r w:rsidRPr="00956B3F">
        <w:rPr>
          <w:rFonts w:ascii="Verdana" w:eastAsia="Times New Roman" w:hAnsi="Verdana" w:cs="Courier New"/>
          <w:color w:val="000000"/>
          <w:sz w:val="27"/>
          <w:szCs w:val="27"/>
          <w:vertAlign w:val="subscript"/>
        </w:rPr>
        <w:t>2</w:t>
      </w:r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) —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якісна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реакція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на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:</w:t>
      </w:r>
    </w:p>
    <w:p w:rsidR="00956B3F" w:rsidRPr="00956B3F" w:rsidRDefault="00956B3F" w:rsidP="00956B3F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r>
        <w:rPr>
          <w:rFonts w:ascii="Verdana" w:eastAsia="Times New Roman" w:hAnsi="Verdana" w:cs="Courier New"/>
          <w:noProof/>
          <w:sz w:val="27"/>
          <w:szCs w:val="27"/>
        </w:rPr>
        <w:drawing>
          <wp:inline distT="0" distB="0" distL="0" distR="0">
            <wp:extent cx="2581275" cy="171450"/>
            <wp:effectExtent l="19050" t="0" r="9525" b="0"/>
            <wp:docPr id="7" name="Рисунок 7" descr="http://subject.com.ua/chemistry/zno/zno.files/image1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bject.com.ua/chemistry/zno/zno.files/image159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bookmarkStart w:id="4" w:name="bookmark479"/>
      <w:r w:rsidRPr="00956B3F">
        <w:rPr>
          <w:rFonts w:ascii="Verdana" w:eastAsia="Times New Roman" w:hAnsi="Verdana" w:cs="Courier New"/>
          <w:color w:val="000000"/>
          <w:sz w:val="27"/>
          <w:szCs w:val="27"/>
          <w:lang w:val="en-US"/>
        </w:rPr>
        <w:t> </w:t>
      </w:r>
      <w:bookmarkEnd w:id="4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center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Застосування</w:t>
      </w:r>
      <w:proofErr w:type="spellEnd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b/>
          <w:bCs/>
          <w:color w:val="000000"/>
          <w:sz w:val="27"/>
          <w:szCs w:val="27"/>
        </w:rPr>
        <w:t>амінів</w:t>
      </w:r>
      <w:proofErr w:type="spellEnd"/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  <w:lang w:val="en-US"/>
        </w:rPr>
        <w:t> 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Головним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чином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аміни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та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їхні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похідні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використовуються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в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лакофарбовій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промисловості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для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добування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барвників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</w:t>
      </w:r>
      <w:proofErr w:type="gram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ізноманітних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відтінків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, для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добування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штучних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волокон, а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також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як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високоефективні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 xml:space="preserve"> </w:t>
      </w:r>
      <w:proofErr w:type="spellStart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розчинники</w:t>
      </w:r>
      <w:proofErr w:type="spellEnd"/>
      <w:r w:rsidRPr="00956B3F">
        <w:rPr>
          <w:rFonts w:ascii="Verdana" w:eastAsia="Times New Roman" w:hAnsi="Verdana" w:cs="Courier New"/>
          <w:color w:val="000000"/>
          <w:sz w:val="27"/>
          <w:szCs w:val="27"/>
        </w:rPr>
        <w:t>.</w:t>
      </w:r>
    </w:p>
    <w:p w:rsidR="00956B3F" w:rsidRPr="00956B3F" w:rsidRDefault="00956B3F" w:rsidP="00956B3F">
      <w:pPr>
        <w:shd w:val="clear" w:color="auto" w:fill="FFFFFF"/>
        <w:spacing w:after="0" w:line="240" w:lineRule="auto"/>
        <w:ind w:firstLine="36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956B3F">
        <w:rPr>
          <w:rFonts w:ascii="Verdana" w:eastAsia="Times New Roman" w:hAnsi="Verdana" w:cs="Courier New"/>
          <w:sz w:val="27"/>
          <w:szCs w:val="27"/>
          <w:lang w:val="en-US"/>
        </w:rPr>
        <w:t> </w:t>
      </w:r>
    </w:p>
    <w:p w:rsidR="007F191C" w:rsidRDefault="007F191C"/>
    <w:sectPr w:rsidR="007F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B3F"/>
    <w:rsid w:val="007F191C"/>
    <w:rsid w:val="0095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B3F"/>
  </w:style>
  <w:style w:type="paragraph" w:styleId="a3">
    <w:name w:val="Balloon Text"/>
    <w:basedOn w:val="a"/>
    <w:link w:val="a4"/>
    <w:uiPriority w:val="99"/>
    <w:semiHidden/>
    <w:unhideWhenUsed/>
    <w:rsid w:val="009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2014-11-19T13:44:00Z</dcterms:created>
  <dcterms:modified xsi:type="dcterms:W3CDTF">2014-11-19T13:46:00Z</dcterms:modified>
</cp:coreProperties>
</file>